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66887" w14:textId="77777777" w:rsidR="00B53055" w:rsidRPr="00B53055" w:rsidRDefault="00B53055" w:rsidP="00B53055">
      <w:pPr>
        <w:widowControl w:val="0"/>
        <w:spacing w:beforeLines="100" w:before="582" w:line="1060" w:lineRule="exact"/>
        <w:jc w:val="center"/>
        <w:rPr>
          <w:rFonts w:ascii="方正小标宋_GBK" w:eastAsia="方正小标宋_GBK" w:cs="新宋体-18030"/>
          <w:b/>
          <w:bCs/>
          <w:color w:val="FF0000"/>
          <w:spacing w:val="24"/>
          <w:w w:val="66"/>
          <w:position w:val="-10"/>
          <w:sz w:val="76"/>
          <w:szCs w:val="76"/>
        </w:rPr>
      </w:pPr>
      <w:r w:rsidRPr="00B53055">
        <w:rPr>
          <w:rFonts w:ascii="方正小标宋_GBK" w:eastAsia="方正小标宋_GBK" w:cs="新宋体-18030" w:hint="eastAsia"/>
          <w:bCs/>
          <w:color w:val="FF0000"/>
          <w:spacing w:val="24"/>
          <w:w w:val="66"/>
          <w:position w:val="-10"/>
          <w:sz w:val="76"/>
          <w:szCs w:val="76"/>
        </w:rPr>
        <w:t>中共天津市纪委市监委</w:t>
      </w:r>
    </w:p>
    <w:p w14:paraId="3584D1DE" w14:textId="06B84BA4" w:rsidR="00B53055" w:rsidRPr="00B53055" w:rsidRDefault="00B53055" w:rsidP="00B53055">
      <w:pPr>
        <w:widowControl w:val="0"/>
        <w:spacing w:beforeLines="50" w:before="291" w:line="1060" w:lineRule="exact"/>
        <w:ind w:rightChars="4" w:right="13"/>
        <w:jc w:val="center"/>
        <w:rPr>
          <w:rFonts w:ascii="方正小标宋_GBK" w:eastAsia="方正小标宋_GBK" w:cs="新宋体-18030"/>
          <w:b/>
          <w:bCs/>
          <w:color w:val="FF0000"/>
          <w:spacing w:val="90"/>
          <w:w w:val="66"/>
          <w:kern w:val="0"/>
          <w:position w:val="-10"/>
          <w:sz w:val="76"/>
          <w:szCs w:val="76"/>
        </w:rPr>
      </w:pPr>
      <w:r w:rsidRPr="00B53055">
        <w:rPr>
          <w:rFonts w:ascii="方正小标宋_GBK" w:eastAsia="方正小标宋_GBK" w:cs="新宋体-18030" w:hint="eastAsia"/>
          <w:bCs/>
          <w:color w:val="FF0000"/>
          <w:spacing w:val="90"/>
          <w:w w:val="66"/>
          <w:position w:val="-10"/>
          <w:sz w:val="76"/>
          <w:szCs w:val="76"/>
        </w:rPr>
        <w:t>驻天津工业大学纪检监察组</w:t>
      </w:r>
    </w:p>
    <w:p w14:paraId="43740EC9" w14:textId="77777777" w:rsidR="00B53055" w:rsidRPr="009D3A4D" w:rsidRDefault="00B53055" w:rsidP="00B53055">
      <w:pPr>
        <w:widowControl w:val="0"/>
        <w:spacing w:line="400" w:lineRule="exact"/>
        <w:rPr>
          <w:rFonts w:ascii="Times New Roman" w:eastAsia="黑体"/>
          <w:b/>
        </w:rPr>
      </w:pPr>
    </w:p>
    <w:p w14:paraId="56680664" w14:textId="557F45B2" w:rsidR="00B53055" w:rsidRPr="00B534C4" w:rsidRDefault="00B53055" w:rsidP="00B53055">
      <w:pPr>
        <w:widowControl w:val="0"/>
        <w:spacing w:line="560" w:lineRule="exact"/>
        <w:jc w:val="center"/>
        <w:rPr>
          <w:b/>
          <w:snapToGrid w:val="0"/>
          <w:kern w:val="0"/>
          <w:szCs w:val="32"/>
        </w:rPr>
      </w:pPr>
      <w:r w:rsidRPr="00B534C4">
        <w:rPr>
          <w:rFonts w:hint="eastAsia"/>
          <w:b/>
          <w:szCs w:val="32"/>
        </w:rPr>
        <w:t>驻</w:t>
      </w:r>
      <w:r>
        <w:rPr>
          <w:rFonts w:hint="eastAsia"/>
          <w:b/>
          <w:snapToGrid w:val="0"/>
          <w:kern w:val="0"/>
          <w:szCs w:val="32"/>
        </w:rPr>
        <w:t>工大</w:t>
      </w:r>
      <w:r w:rsidRPr="00B534C4">
        <w:rPr>
          <w:rFonts w:hint="eastAsia"/>
          <w:b/>
          <w:snapToGrid w:val="0"/>
          <w:kern w:val="0"/>
          <w:szCs w:val="32"/>
        </w:rPr>
        <w:t>纪监发〔20</w:t>
      </w:r>
      <w:r w:rsidR="003C547F">
        <w:rPr>
          <w:rFonts w:hint="eastAsia"/>
          <w:b/>
          <w:snapToGrid w:val="0"/>
          <w:kern w:val="0"/>
          <w:szCs w:val="32"/>
        </w:rPr>
        <w:t>2</w:t>
      </w:r>
      <w:r w:rsidR="003C547F">
        <w:rPr>
          <w:b/>
          <w:snapToGrid w:val="0"/>
          <w:kern w:val="0"/>
          <w:szCs w:val="32"/>
        </w:rPr>
        <w:t>1</w:t>
      </w:r>
      <w:r w:rsidRPr="00B534C4">
        <w:rPr>
          <w:rFonts w:hint="eastAsia"/>
          <w:b/>
          <w:snapToGrid w:val="0"/>
          <w:kern w:val="0"/>
          <w:szCs w:val="32"/>
        </w:rPr>
        <w:t>〕</w:t>
      </w:r>
      <w:r w:rsidR="003C547F">
        <w:rPr>
          <w:rFonts w:hint="eastAsia"/>
          <w:b/>
          <w:snapToGrid w:val="0"/>
          <w:kern w:val="0"/>
          <w:szCs w:val="32"/>
        </w:rPr>
        <w:t>1</w:t>
      </w:r>
      <w:r w:rsidRPr="00B534C4">
        <w:rPr>
          <w:rFonts w:hint="eastAsia"/>
          <w:b/>
          <w:snapToGrid w:val="0"/>
          <w:kern w:val="0"/>
          <w:szCs w:val="32"/>
        </w:rPr>
        <w:t>号</w:t>
      </w:r>
    </w:p>
    <w:tbl>
      <w:tblPr>
        <w:tblW w:w="8884" w:type="dxa"/>
        <w:jc w:val="center"/>
        <w:tblLayout w:type="fixed"/>
        <w:tblCellMar>
          <w:left w:w="0" w:type="dxa"/>
          <w:right w:w="0" w:type="dxa"/>
        </w:tblCellMar>
        <w:tblLook w:val="0000" w:firstRow="0" w:lastRow="0" w:firstColumn="0" w:lastColumn="0" w:noHBand="0" w:noVBand="0"/>
      </w:tblPr>
      <w:tblGrid>
        <w:gridCol w:w="8884"/>
      </w:tblGrid>
      <w:tr w:rsidR="00B53055" w:rsidRPr="009D3A4D" w14:paraId="6C75FEFB" w14:textId="77777777" w:rsidTr="00121372">
        <w:trPr>
          <w:cantSplit/>
          <w:trHeight w:hRule="exact" w:val="1313"/>
          <w:jc w:val="center"/>
        </w:trPr>
        <w:tc>
          <w:tcPr>
            <w:tcW w:w="8884" w:type="dxa"/>
          </w:tcPr>
          <w:p w14:paraId="6FCA0E34" w14:textId="006F1702" w:rsidR="00B53055" w:rsidRPr="009D3A4D" w:rsidRDefault="00B53055" w:rsidP="00121372">
            <w:pPr>
              <w:widowControl w:val="0"/>
              <w:spacing w:line="240" w:lineRule="auto"/>
              <w:jc w:val="center"/>
              <w:rPr>
                <w:rFonts w:ascii="黑体" w:eastAsia="黑体"/>
                <w:b/>
                <w:snapToGrid w:val="0"/>
                <w:color w:val="FF0000"/>
                <w:spacing w:val="0"/>
                <w:kern w:val="0"/>
                <w:position w:val="-64"/>
                <w:sz w:val="44"/>
                <w:szCs w:val="44"/>
              </w:rPr>
            </w:pPr>
            <w:r>
              <w:rPr>
                <w:rFonts w:ascii="黑体" w:eastAsia="黑体"/>
                <w:b/>
                <w:noProof/>
                <w:snapToGrid w:val="0"/>
                <w:color w:val="FF0000"/>
                <w:spacing w:val="0"/>
                <w:kern w:val="0"/>
                <w:position w:val="-64"/>
                <w:sz w:val="44"/>
                <w:szCs w:val="44"/>
              </w:rPr>
              <mc:AlternateContent>
                <mc:Choice Requires="wps">
                  <w:drawing>
                    <wp:anchor distT="0" distB="0" distL="114300" distR="114300" simplePos="0" relativeHeight="251660288" behindDoc="0" locked="0" layoutInCell="1" allowOverlap="1" wp14:anchorId="7C1740B1" wp14:editId="0B5614F8">
                      <wp:simplePos x="0" y="0"/>
                      <wp:positionH relativeFrom="column">
                        <wp:align>right</wp:align>
                      </wp:positionH>
                      <wp:positionV relativeFrom="paragraph">
                        <wp:posOffset>292100</wp:posOffset>
                      </wp:positionV>
                      <wp:extent cx="2520315" cy="0"/>
                      <wp:effectExtent l="20320" t="21590" r="21590" b="260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A7DC" id="直接连接符 2"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47.25pt,23pt" to="345.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" strokecolor="red" strokeweight="3pt"/>
                  </w:pict>
                </mc:Fallback>
              </mc:AlternateContent>
            </w:r>
            <w:r>
              <w:rPr>
                <w:rFonts w:ascii="黑体" w:eastAsia="黑体"/>
                <w:b/>
                <w:noProof/>
                <w:snapToGrid w:val="0"/>
                <w:color w:val="FF0000"/>
                <w:spacing w:val="0"/>
                <w:kern w:val="0"/>
                <w:position w:val="-64"/>
                <w:sz w:val="44"/>
                <w:szCs w:val="44"/>
              </w:rPr>
              <mc:AlternateContent>
                <mc:Choice Requires="wps">
                  <w:drawing>
                    <wp:anchor distT="0" distB="0" distL="114300" distR="114300" simplePos="0" relativeHeight="251659264" behindDoc="0" locked="0" layoutInCell="1" allowOverlap="1" wp14:anchorId="2319BAF7" wp14:editId="15968FD4">
                      <wp:simplePos x="0" y="0"/>
                      <wp:positionH relativeFrom="column">
                        <wp:align>left</wp:align>
                      </wp:positionH>
                      <wp:positionV relativeFrom="paragraph">
                        <wp:posOffset>299720</wp:posOffset>
                      </wp:positionV>
                      <wp:extent cx="2520315" cy="0"/>
                      <wp:effectExtent l="26035" t="27305" r="25400" b="203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C5552" id="直接连接符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23.6pt" to="198.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" strokecolor="red" strokeweight="3pt"/>
                  </w:pict>
                </mc:Fallback>
              </mc:AlternateContent>
            </w:r>
            <w:r w:rsidRPr="009D3A4D">
              <w:rPr>
                <w:rFonts w:ascii="黑体" w:eastAsia="黑体" w:hint="eastAsia"/>
                <w:snapToGrid w:val="0"/>
                <w:color w:val="FF0000"/>
                <w:spacing w:val="0"/>
                <w:kern w:val="0"/>
                <w:position w:val="-64"/>
                <w:sz w:val="44"/>
                <w:szCs w:val="44"/>
              </w:rPr>
              <w:t>★</w:t>
            </w:r>
          </w:p>
          <w:p w14:paraId="358FE5F7" w14:textId="77777777" w:rsidR="00B53055" w:rsidRPr="009D3A4D" w:rsidRDefault="00B53055" w:rsidP="00121372">
            <w:pPr>
              <w:widowControl w:val="0"/>
              <w:spacing w:line="240" w:lineRule="auto"/>
              <w:jc w:val="center"/>
              <w:rPr>
                <w:rFonts w:ascii="黑体" w:eastAsia="黑体"/>
                <w:b/>
                <w:snapToGrid w:val="0"/>
                <w:kern w:val="0"/>
                <w:position w:val="-64"/>
                <w:sz w:val="52"/>
                <w:szCs w:val="52"/>
              </w:rPr>
            </w:pPr>
          </w:p>
        </w:tc>
      </w:tr>
    </w:tbl>
    <w:p w14:paraId="05C3E39D" w14:textId="77777777" w:rsidR="00B53055" w:rsidRPr="009D3A4D" w:rsidRDefault="00B53055" w:rsidP="00B53055">
      <w:pPr>
        <w:widowControl w:val="0"/>
        <w:spacing w:line="380" w:lineRule="exact"/>
        <w:jc w:val="center"/>
        <w:rPr>
          <w:rFonts w:ascii="Times New Roman" w:eastAsia="方正小标宋_GBK"/>
          <w:b/>
          <w:snapToGrid w:val="0"/>
          <w:sz w:val="44"/>
          <w:szCs w:val="44"/>
        </w:rPr>
      </w:pPr>
    </w:p>
    <w:p w14:paraId="36533828" w14:textId="77777777" w:rsidR="003C547F" w:rsidRPr="00CB05B8" w:rsidRDefault="003C547F" w:rsidP="001A16CE">
      <w:pPr>
        <w:jc w:val="center"/>
        <w:rPr>
          <w:rFonts w:ascii="方正小标宋_GBK" w:eastAsia="方正小标宋_GBK" w:hAnsi="宋体" w:cs="宋体"/>
          <w:bCs/>
          <w:kern w:val="0"/>
          <w:sz w:val="44"/>
          <w:szCs w:val="44"/>
        </w:rPr>
      </w:pPr>
      <w:r w:rsidRPr="00CB05B8">
        <w:rPr>
          <w:rFonts w:ascii="方正小标宋_GBK" w:eastAsia="方正小标宋_GBK" w:hAnsi="宋体" w:cs="宋体" w:hint="eastAsia"/>
          <w:bCs/>
          <w:kern w:val="0"/>
          <w:sz w:val="44"/>
          <w:szCs w:val="44"/>
        </w:rPr>
        <w:t>关于二级单位纪委开展政治生态</w:t>
      </w:r>
      <w:r w:rsidRPr="00CB05B8">
        <w:rPr>
          <w:rFonts w:ascii="方正小标宋_GBK" w:eastAsia="方正小标宋_GBK" w:hAnsi="宋体" w:cs="宋体" w:hint="eastAsia"/>
          <w:bCs/>
          <w:kern w:val="0"/>
          <w:sz w:val="44"/>
          <w:szCs w:val="44"/>
        </w:rPr>
        <w:br/>
        <w:t>分析研判的工作办法</w:t>
      </w:r>
    </w:p>
    <w:p w14:paraId="319E1F4A" w14:textId="77777777" w:rsidR="003C547F" w:rsidRPr="00CB05B8" w:rsidRDefault="003C547F" w:rsidP="001A16CE">
      <w:pPr>
        <w:jc w:val="center"/>
        <w:rPr>
          <w:rFonts w:ascii="方正小标宋_GBK" w:eastAsia="方正小标宋_GBK" w:hAnsi="宋体" w:cs="宋体"/>
          <w:bCs/>
          <w:kern w:val="0"/>
          <w:sz w:val="44"/>
          <w:szCs w:val="44"/>
        </w:rPr>
      </w:pPr>
      <w:r w:rsidRPr="00CB05B8">
        <w:rPr>
          <w:rFonts w:ascii="方正小标宋_GBK" w:eastAsia="方正小标宋_GBK" w:hAnsi="宋体" w:cs="宋体" w:hint="eastAsia"/>
          <w:bCs/>
          <w:kern w:val="0"/>
          <w:sz w:val="44"/>
          <w:szCs w:val="44"/>
        </w:rPr>
        <w:t>(试行)</w:t>
      </w:r>
    </w:p>
    <w:p w14:paraId="1A231BAC" w14:textId="77777777" w:rsidR="003C547F" w:rsidRDefault="003C547F" w:rsidP="001A16CE">
      <w:pPr>
        <w:ind w:left="594" w:hangingChars="200" w:hanging="594"/>
        <w:jc w:val="left"/>
        <w:rPr>
          <w:rFonts w:ascii="宋体" w:eastAsia="宋体" w:hAnsi="宋体" w:cs="宋体"/>
          <w:b/>
          <w:kern w:val="0"/>
          <w:sz w:val="28"/>
          <w:szCs w:val="28"/>
        </w:rPr>
      </w:pPr>
    </w:p>
    <w:p w14:paraId="4FE95B64" w14:textId="6BB7A76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为贯彻执行《天津市纪委监委关于加强监督工作的意见(试行)》，推动监督向基层延伸，根据《关于新形势下党内政治生活的若干准则》《中国共产党党内监督条例》等相关规定，结合工作实际，制定本工作办法。</w:t>
      </w:r>
      <w:r w:rsidRPr="00CB05B8">
        <w:rPr>
          <w:rFonts w:hAnsi="仿宋" w:cs="方正仿宋_GBK" w:hint="eastAsia"/>
          <w:bCs/>
          <w:snapToGrid w:val="0"/>
          <w:kern w:val="0"/>
          <w:sz w:val="36"/>
          <w:szCs w:val="36"/>
        </w:rPr>
        <w:br/>
        <w:t xml:space="preserve">    </w:t>
      </w:r>
      <w:r w:rsidRPr="00CB05B8">
        <w:rPr>
          <w:rFonts w:ascii="方正黑体_GBK" w:eastAsia="方正黑体_GBK" w:cs="方正黑体_GBK" w:hint="eastAsia"/>
          <w:bCs/>
          <w:sz w:val="36"/>
          <w:szCs w:val="36"/>
        </w:rPr>
        <w:t>第一条</w:t>
      </w:r>
      <w:r w:rsidRPr="00CB05B8">
        <w:rPr>
          <w:rFonts w:hAnsi="仿宋" w:cs="方正仿宋_GBK" w:hint="eastAsia"/>
          <w:bCs/>
          <w:snapToGrid w:val="0"/>
          <w:kern w:val="0"/>
          <w:sz w:val="36"/>
          <w:szCs w:val="36"/>
        </w:rPr>
        <w:t xml:space="preserve">  二级单位纪委在履行监督职责工作中，应当结合各自实际开展政治生态分析研判工作。市纪委监委驻天津工业大学纪检监察组（以下简称“驻校纪检</w:t>
      </w:r>
      <w:r w:rsidRPr="00CB05B8">
        <w:rPr>
          <w:rFonts w:hAnsi="仿宋" w:cs="方正仿宋_GBK" w:hint="eastAsia"/>
          <w:bCs/>
          <w:snapToGrid w:val="0"/>
          <w:kern w:val="0"/>
          <w:sz w:val="36"/>
          <w:szCs w:val="36"/>
        </w:rPr>
        <w:lastRenderedPageBreak/>
        <w:t>监察组”）对二级单位纪委开展政治生态分析研判工作进行指导。</w:t>
      </w:r>
    </w:p>
    <w:p w14:paraId="4D28744B" w14:textId="77777777" w:rsidR="002D45AC" w:rsidRDefault="003C547F" w:rsidP="001A16CE">
      <w:pPr>
        <w:adjustRightInd w:val="0"/>
        <w:snapToGrid w:val="0"/>
        <w:ind w:firstLineChars="200" w:firstLine="752"/>
        <w:rPr>
          <w:rFonts w:hAnsi="仿宋" w:cs="方正仿宋_GBK"/>
          <w:bCs/>
          <w:snapToGrid w:val="0"/>
          <w:kern w:val="0"/>
          <w:sz w:val="36"/>
          <w:szCs w:val="36"/>
        </w:rPr>
      </w:pPr>
      <w:r w:rsidRPr="00CB05B8">
        <w:rPr>
          <w:rFonts w:ascii="方正黑体_GBK" w:eastAsia="方正黑体_GBK" w:cs="方正黑体_GBK" w:hint="eastAsia"/>
          <w:bCs/>
          <w:sz w:val="36"/>
          <w:szCs w:val="36"/>
        </w:rPr>
        <w:t>第二条</w:t>
      </w:r>
      <w:r w:rsidRPr="00CB05B8">
        <w:rPr>
          <w:rFonts w:hAnsi="仿宋" w:cs="方正仿宋_GBK" w:hint="eastAsia"/>
          <w:bCs/>
          <w:snapToGrid w:val="0"/>
          <w:kern w:val="0"/>
          <w:sz w:val="36"/>
          <w:szCs w:val="36"/>
        </w:rPr>
        <w:t xml:space="preserve">  二级单位纪委开展政治生态分析研判应当把握以下原则：</w:t>
      </w:r>
    </w:p>
    <w:p w14:paraId="32AE5751" w14:textId="184E8908" w:rsidR="009743EE" w:rsidRDefault="00977ED6" w:rsidP="009743EE">
      <w:pPr>
        <w:adjustRightInd w:val="0"/>
        <w:snapToGrid w:val="0"/>
        <w:ind w:firstLineChars="200" w:firstLine="752"/>
        <w:rPr>
          <w:rFonts w:hAnsi="仿宋" w:cs="方正仿宋_GBK"/>
          <w:bCs/>
          <w:snapToGrid w:val="0"/>
          <w:kern w:val="0"/>
          <w:sz w:val="36"/>
          <w:szCs w:val="36"/>
        </w:rPr>
      </w:pPr>
      <w:r>
        <w:rPr>
          <w:rFonts w:hAnsi="仿宋" w:cs="方正仿宋_GBK" w:hint="eastAsia"/>
          <w:bCs/>
          <w:snapToGrid w:val="0"/>
          <w:kern w:val="0"/>
          <w:sz w:val="36"/>
          <w:szCs w:val="36"/>
        </w:rPr>
        <w:t>（一）</w:t>
      </w:r>
      <w:r w:rsidR="003C547F" w:rsidRPr="00CB05B8">
        <w:rPr>
          <w:rFonts w:hAnsi="仿宋" w:cs="方正仿宋_GBK" w:hint="eastAsia"/>
          <w:bCs/>
          <w:snapToGrid w:val="0"/>
          <w:kern w:val="0"/>
          <w:sz w:val="36"/>
          <w:szCs w:val="36"/>
        </w:rPr>
        <w:t>坚持着眼政治建设成效，重点看所在学院、单位政治观念是否牢固树立，政治纪律是否坚决执行，政治生态是否不断改善。</w:t>
      </w:r>
    </w:p>
    <w:p w14:paraId="068FC3D0" w14:textId="540143B4" w:rsidR="009743EE" w:rsidRDefault="00977ED6" w:rsidP="009743EE">
      <w:pPr>
        <w:adjustRightInd w:val="0"/>
        <w:snapToGrid w:val="0"/>
        <w:ind w:firstLineChars="200" w:firstLine="752"/>
        <w:rPr>
          <w:rFonts w:hAnsi="仿宋" w:cs="方正仿宋_GBK"/>
          <w:bCs/>
          <w:snapToGrid w:val="0"/>
          <w:kern w:val="0"/>
          <w:sz w:val="36"/>
          <w:szCs w:val="36"/>
        </w:rPr>
      </w:pPr>
      <w:r>
        <w:rPr>
          <w:rFonts w:hAnsi="仿宋" w:cs="方正仿宋_GBK" w:hint="eastAsia"/>
          <w:bCs/>
          <w:snapToGrid w:val="0"/>
          <w:kern w:val="0"/>
          <w:sz w:val="36"/>
          <w:szCs w:val="36"/>
        </w:rPr>
        <w:t>（二）</w:t>
      </w:r>
      <w:r w:rsidR="003C547F" w:rsidRPr="00CB05B8">
        <w:rPr>
          <w:rFonts w:hAnsi="仿宋" w:cs="方正仿宋_GBK" w:hint="eastAsia"/>
          <w:bCs/>
          <w:snapToGrid w:val="0"/>
          <w:kern w:val="0"/>
          <w:sz w:val="36"/>
          <w:szCs w:val="36"/>
        </w:rPr>
        <w:t>坚持聚焦学院党委、机关党委班子及其成员这个“关键少数”，同时系统分析所属各级党组织整体生态情况。</w:t>
      </w:r>
    </w:p>
    <w:p w14:paraId="7CD2EA48" w14:textId="120FE34D" w:rsidR="003C547F" w:rsidRPr="00CB05B8" w:rsidRDefault="003C547F" w:rsidP="009743E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（三）坚持综合分析与问题导向相结合，把握“树木”与“森林”的关系，注重从典型案例分析政治生态，做到实事求是、全面客观。</w:t>
      </w:r>
    </w:p>
    <w:p w14:paraId="4272CE4F"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（四）坚持定性分析与定量分析相结合，历史分析与现实分析相结合，做到净化政治生态成效年度之间可比较。</w:t>
      </w:r>
    </w:p>
    <w:p w14:paraId="496173CE"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ascii="方正黑体_GBK" w:eastAsia="方正黑体_GBK" w:cs="方正黑体_GBK" w:hint="eastAsia"/>
          <w:bCs/>
          <w:sz w:val="36"/>
          <w:szCs w:val="36"/>
        </w:rPr>
        <w:t>第三条</w:t>
      </w:r>
      <w:r w:rsidRPr="00CB05B8">
        <w:rPr>
          <w:rFonts w:hAnsi="仿宋" w:cs="方正仿宋_GBK"/>
          <w:bCs/>
          <w:snapToGrid w:val="0"/>
          <w:kern w:val="0"/>
          <w:sz w:val="36"/>
          <w:szCs w:val="36"/>
        </w:rPr>
        <w:t xml:space="preserve">  </w:t>
      </w:r>
      <w:r w:rsidRPr="00CB05B8">
        <w:rPr>
          <w:rFonts w:hAnsi="仿宋" w:cs="方正仿宋_GBK" w:hint="eastAsia"/>
          <w:bCs/>
          <w:snapToGrid w:val="0"/>
          <w:kern w:val="0"/>
          <w:sz w:val="36"/>
          <w:szCs w:val="36"/>
        </w:rPr>
        <w:t>政治生态分析研判应包含以下重点内容:</w:t>
      </w:r>
    </w:p>
    <w:p w14:paraId="3AA48E23" w14:textId="3A48567E" w:rsidR="003C547F" w:rsidRPr="00CB05B8" w:rsidRDefault="00B87D02" w:rsidP="001A16CE">
      <w:pPr>
        <w:adjustRightInd w:val="0"/>
        <w:snapToGrid w:val="0"/>
        <w:ind w:firstLineChars="200" w:firstLine="752"/>
        <w:rPr>
          <w:rFonts w:hAnsi="仿宋" w:cs="方正仿宋_GBK"/>
          <w:bCs/>
          <w:snapToGrid w:val="0"/>
          <w:kern w:val="0"/>
          <w:sz w:val="36"/>
          <w:szCs w:val="36"/>
        </w:rPr>
      </w:pPr>
      <w:r>
        <w:rPr>
          <w:rFonts w:hAnsi="仿宋" w:cs="方正仿宋_GBK" w:hint="eastAsia"/>
          <w:bCs/>
          <w:snapToGrid w:val="0"/>
          <w:kern w:val="0"/>
          <w:sz w:val="36"/>
          <w:szCs w:val="36"/>
        </w:rPr>
        <w:t>（一）</w:t>
      </w:r>
      <w:r w:rsidR="003C547F" w:rsidRPr="00CB05B8">
        <w:rPr>
          <w:rFonts w:hAnsi="仿宋" w:cs="方正仿宋_GBK" w:hint="eastAsia"/>
          <w:bCs/>
          <w:snapToGrid w:val="0"/>
          <w:kern w:val="0"/>
          <w:sz w:val="36"/>
          <w:szCs w:val="36"/>
        </w:rPr>
        <w:t>领导班子、党员干部和历史环境等基本情况。包括：历史沿革、组织架构、工作职能、人员构成等情况；基层党组织、党员及党员领导干部等基本情况，纪检干部队伍情况；群众评价、年度考核情况。</w:t>
      </w:r>
    </w:p>
    <w:p w14:paraId="55EDA88F"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lastRenderedPageBreak/>
        <w:t>（二）贯彻执行党的路线方针政策和落实“两个坚决维护”情况。着重分析学习贯彻习近平新时代中国特色社会主义思想和党的十九大精神，贯彻落实中央、市委重大决策部署情况。分析严明政治纪律和政治规矩，强化“四个意识”、落实“五个必须”、反对“七个有之”，重大问题请示报告等情况。分析反对圈子文化、好人主义的情况。</w:t>
      </w:r>
    </w:p>
    <w:p w14:paraId="1968599B"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三）坚持民主集中制、严肃党内政治生活情况。分析党委主要负责人主动接受监督，推动健全民主决策制度机制情况；分析党内政治生活质量，了解落实“三会一课”、双重组织生活、民主评议、党员日常管理等制度情况，看能否坚持以批评和自我批评为武器开展积极健康的思想斗争，以党内政治生活锤炼党性、强化党组织的政治功能。</w:t>
      </w:r>
    </w:p>
    <w:p w14:paraId="5342591D"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（四）执行党的干部政策、匡正选人用人风气情况。分析本单位能否树立鲜明政治导向，把好干部政治关、廉洁关、形象关，选人用人是否公道正派、让人信服，能否调动最大多数干部的积极性、能动性。</w:t>
      </w:r>
    </w:p>
    <w:p w14:paraId="33618427"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五）加强党的作风建设情况。分析本单位违反中央八项规定精神和“四风”问题的发现和查处情况，看隐形变异的“四风”问题是否得到有效纠正。分析形式主义、官僚主义的表现，看集中整治是否取得成效；分</w:t>
      </w:r>
      <w:r w:rsidRPr="00CB05B8">
        <w:rPr>
          <w:rFonts w:hAnsi="仿宋" w:cs="方正仿宋_GBK" w:hint="eastAsia"/>
          <w:bCs/>
          <w:snapToGrid w:val="0"/>
          <w:kern w:val="0"/>
          <w:sz w:val="36"/>
          <w:szCs w:val="36"/>
        </w:rPr>
        <w:lastRenderedPageBreak/>
        <w:t>析党员干部中是否存在特权思想和特权现象；看领导干部是否主动报告个人重大事项，自觉约束子女、亲属等身边人，带头树立良好家风。</w:t>
      </w:r>
    </w:p>
    <w:p w14:paraId="3F17A51C" w14:textId="1854C492"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六）加强纪律建设情况。分析学院党委、机关党委加强纪律教育，强化纪律执行，开展以案促教、以案促改、以案促建工作情况。分析本单位加强党内监督，开展纪律执行监督检查情况。分析运用监督执纪“四种形态”，特别是领导班子及成员运用“第一种形态”对苗头性倾向性问题及时提醒纠正的情况。</w:t>
      </w:r>
    </w:p>
    <w:p w14:paraId="0925EDF4"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七）问题线索查处情况。分析本单位信访举报收件情况（含来信来访对象分布、问题类型、领域分布、变化情况分析等情况）；信访举报办件情况（含线索特点、线索处置情况、“四种形态”分布、变化情况分析等情况）；上级转办、领导交办等重要问题线索处置情况；巡视、审计等其他途径反馈问题线索处置情况。</w:t>
      </w:r>
    </w:p>
    <w:p w14:paraId="0F2667C2"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八）领导班子团结共事、干事创业情况。分析本单位领导班子和各级党组织的创造力、凝聚力、战斗力强不强，看干事创业的氛围浓不浓，正面示范引领效应有没有得到充分发挥；看党员干部宗旨意识牢不牢、为民务实作风实不实。</w:t>
      </w:r>
    </w:p>
    <w:p w14:paraId="4F674735"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（九）重点工作推进和有关问题整改落实情况。分析中央、市委、市政府、校党委、校行政年度重点工作</w:t>
      </w:r>
      <w:r w:rsidRPr="00CB05B8">
        <w:rPr>
          <w:rFonts w:hAnsi="仿宋" w:cs="方正仿宋_GBK" w:hint="eastAsia"/>
          <w:bCs/>
          <w:snapToGrid w:val="0"/>
          <w:kern w:val="0"/>
          <w:sz w:val="36"/>
          <w:szCs w:val="36"/>
        </w:rPr>
        <w:lastRenderedPageBreak/>
        <w:t>完成情况，意识形态责任制落实情况，相关廉政风险防控机制建立完善情况等。深入了解分析巡视巡察、督查、审计和纪检监察建议反馈问题的整改情况；研判同类问题是否连续、重复发生。</w:t>
      </w:r>
    </w:p>
    <w:p w14:paraId="48238BE7"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（十）根据本单位特点及年度工作重点需要分析研判的其他内容。</w:t>
      </w:r>
    </w:p>
    <w:p w14:paraId="16BAF9FB"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以上内容可以根据实际情况排列组合，不同单位可以有所不同，年度分析研判重点可以有所不同。</w:t>
      </w:r>
    </w:p>
    <w:p w14:paraId="1E14DC97" w14:textId="1325862F"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ascii="方正黑体_GBK" w:eastAsia="方正黑体_GBK" w:cs="方正黑体_GBK" w:hint="eastAsia"/>
          <w:bCs/>
          <w:sz w:val="36"/>
          <w:szCs w:val="36"/>
        </w:rPr>
        <w:t>第四条</w:t>
      </w:r>
      <w:r w:rsidR="001A16CE" w:rsidRPr="00CB05B8">
        <w:rPr>
          <w:rFonts w:hAnsi="仿宋" w:cs="方正仿宋_GBK"/>
          <w:bCs/>
          <w:snapToGrid w:val="0"/>
          <w:kern w:val="0"/>
          <w:sz w:val="36"/>
          <w:szCs w:val="36"/>
        </w:rPr>
        <w:t xml:space="preserve">  </w:t>
      </w:r>
      <w:r w:rsidRPr="00CB05B8">
        <w:rPr>
          <w:rFonts w:hAnsi="仿宋" w:cs="方正仿宋_GBK" w:hint="eastAsia"/>
          <w:bCs/>
          <w:snapToGrid w:val="0"/>
          <w:kern w:val="0"/>
          <w:sz w:val="36"/>
          <w:szCs w:val="36"/>
        </w:rPr>
        <w:t>政治生态分析研判可以采取以下基本方法：</w:t>
      </w:r>
    </w:p>
    <w:p w14:paraId="215F4E7F"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（一）掌握基础信息。全面收集有本单位涉及政治生态的各方面信息，包括专项治理、专项调研、巡视巡察、职能部门监督、问题线索处置、基层党组织建设等工作成果。</w:t>
      </w:r>
    </w:p>
    <w:p w14:paraId="6053161B"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（二）主动开展调研。通过参加会议、听取汇报、座谈谈话、监督民主（组织）生活会等方式，主动搜集涉及政治生态的重要信息。</w:t>
      </w:r>
    </w:p>
    <w:p w14:paraId="6E83FDF2"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（三）科学把脉、精准“画像”。采用点面相结合、举例和归纳相结合、数据图表和文字描述相结合、定性和定量相结合等方式对政治生态状况作出全面、客观、辩证的比较、分析和评价。</w:t>
      </w:r>
    </w:p>
    <w:p w14:paraId="58B21B95"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lastRenderedPageBreak/>
        <w:t xml:space="preserve">（四）着眼问题整改、净化政治生态提出建议。对年度整体政治生态分析研判后，应当形成年度书面报告。立足源头治理、标本兼治，有针对性地提出政治生态建设意见建议，推动本单位政治生态持续向善向好。 </w:t>
      </w:r>
    </w:p>
    <w:p w14:paraId="43D907E8" w14:textId="77777777" w:rsidR="003C547F" w:rsidRPr="00CB05B8" w:rsidRDefault="003C547F" w:rsidP="001A16CE">
      <w:pPr>
        <w:ind w:firstLineChars="200" w:firstLine="752"/>
        <w:rPr>
          <w:rFonts w:hAnsi="仿宋" w:cs="方正仿宋_GBK"/>
          <w:bCs/>
          <w:snapToGrid w:val="0"/>
          <w:kern w:val="0"/>
          <w:sz w:val="36"/>
          <w:szCs w:val="36"/>
        </w:rPr>
      </w:pPr>
      <w:r w:rsidRPr="00CB05B8">
        <w:rPr>
          <w:rFonts w:ascii="方正黑体_GBK" w:eastAsia="方正黑体_GBK" w:cs="方正黑体_GBK" w:hint="eastAsia"/>
          <w:bCs/>
          <w:sz w:val="36"/>
          <w:szCs w:val="36"/>
        </w:rPr>
        <w:t>第五条</w:t>
      </w:r>
      <w:r w:rsidRPr="00CB05B8">
        <w:rPr>
          <w:rFonts w:hAnsi="仿宋" w:cs="方正仿宋_GBK" w:hint="eastAsia"/>
          <w:bCs/>
          <w:snapToGrid w:val="0"/>
          <w:kern w:val="0"/>
          <w:sz w:val="36"/>
          <w:szCs w:val="36"/>
        </w:rPr>
        <w:t xml:space="preserve">  政治生态分析研判工作原则上每年进行一次。各二级单位纪委需参照本办法对所在单位开展政治生态分析并形成年度书面报告，呈报驻校纪检监察组。在出现班子不团结、凝聚力战斗力不强，主要领导或多名班子成员受到党政纪处理、系统性违纪违法问题多发频发，日常监督检查中发现问题较多、一段时间内线索反映较为集中，受到上级单位通报批评、目标责任考核较差等情况下，可视情况适时开展分析研判。</w:t>
      </w:r>
    </w:p>
    <w:p w14:paraId="781134E2"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ascii="方正黑体_GBK" w:eastAsia="方正黑体_GBK" w:cs="方正黑体_GBK" w:hint="eastAsia"/>
          <w:bCs/>
          <w:sz w:val="36"/>
          <w:szCs w:val="36"/>
        </w:rPr>
        <w:t>第六条</w:t>
      </w:r>
      <w:r w:rsidRPr="00CB05B8">
        <w:rPr>
          <w:rFonts w:hAnsi="仿宋" w:cs="方正仿宋_GBK" w:hint="eastAsia"/>
          <w:bCs/>
          <w:snapToGrid w:val="0"/>
          <w:kern w:val="0"/>
          <w:sz w:val="36"/>
          <w:szCs w:val="36"/>
        </w:rPr>
        <w:t xml:space="preserve">  加强政治生态分析报告的成果选用，主要包括以下方面：</w:t>
      </w:r>
    </w:p>
    <w:p w14:paraId="4726A7A1"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（一）供驻校纪检监察组掌握整体情况，为监督工作提供服务保障。</w:t>
      </w:r>
    </w:p>
    <w:p w14:paraId="30F9AA20"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（二）供所在单位对照检查，推进政治生态持续净化。针对报告中反映的问题，各单位可以在领导班子民主生活会上对照检查，并督促抓好相关问题的整改落实。</w:t>
      </w:r>
    </w:p>
    <w:p w14:paraId="750050E8"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（三）通过政治生态分析研判，对符合制发纪检监察建议的具体问题，可以依据有关规定，另行提出纪检监察建议，推动问题及时整改。</w:t>
      </w:r>
    </w:p>
    <w:p w14:paraId="282CD8D5"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lastRenderedPageBreak/>
        <w:t>（四）政治生态分析研判报告应留存待查，为巡视巡察、组织考核、述责述廉等工作提供参考。</w:t>
      </w:r>
    </w:p>
    <w:p w14:paraId="5B87234B"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p>
    <w:p w14:paraId="6A61CBC3"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p>
    <w:p w14:paraId="44D2D7AC" w14:textId="77777777" w:rsidR="003C547F" w:rsidRPr="00CB05B8" w:rsidRDefault="003C547F" w:rsidP="001A16CE">
      <w:pPr>
        <w:adjustRightInd w:val="0"/>
        <w:snapToGrid w:val="0"/>
        <w:ind w:firstLineChars="200" w:firstLine="752"/>
        <w:rPr>
          <w:rFonts w:hAnsi="仿宋" w:cs="方正仿宋_GBK"/>
          <w:bCs/>
          <w:snapToGrid w:val="0"/>
          <w:kern w:val="0"/>
          <w:sz w:val="36"/>
          <w:szCs w:val="36"/>
        </w:rPr>
      </w:pPr>
    </w:p>
    <w:p w14:paraId="67A8C789" w14:textId="77777777" w:rsidR="003C547F" w:rsidRPr="00CB05B8" w:rsidRDefault="003C547F" w:rsidP="000917EE">
      <w:pPr>
        <w:adjustRightInd w:val="0"/>
        <w:snapToGrid w:val="0"/>
        <w:ind w:firstLineChars="1000" w:firstLine="3760"/>
        <w:rPr>
          <w:rFonts w:hAnsi="仿宋" w:cs="方正仿宋_GBK"/>
          <w:bCs/>
          <w:snapToGrid w:val="0"/>
          <w:kern w:val="0"/>
          <w:sz w:val="36"/>
          <w:szCs w:val="36"/>
        </w:rPr>
      </w:pPr>
      <w:r w:rsidRPr="00CB05B8">
        <w:rPr>
          <w:rFonts w:hAnsi="仿宋" w:cs="方正仿宋_GBK" w:hint="eastAsia"/>
          <w:bCs/>
          <w:snapToGrid w:val="0"/>
          <w:kern w:val="0"/>
          <w:sz w:val="36"/>
          <w:szCs w:val="36"/>
        </w:rPr>
        <w:t>中共天津</w:t>
      </w:r>
      <w:r w:rsidRPr="00CB05B8">
        <w:rPr>
          <w:rFonts w:hAnsi="仿宋" w:cs="方正仿宋_GBK" w:hint="eastAsia"/>
          <w:bCs/>
          <w:snapToGrid w:val="0"/>
          <w:kern w:val="0"/>
          <w:sz w:val="36"/>
          <w:szCs w:val="36"/>
          <w:lang w:eastAsia="zh-Hans"/>
        </w:rPr>
        <w:t>市</w:t>
      </w:r>
      <w:r w:rsidRPr="00CB05B8">
        <w:rPr>
          <w:rFonts w:hAnsi="仿宋" w:cs="方正仿宋_GBK" w:hint="eastAsia"/>
          <w:bCs/>
          <w:snapToGrid w:val="0"/>
          <w:kern w:val="0"/>
          <w:sz w:val="36"/>
          <w:szCs w:val="36"/>
        </w:rPr>
        <w:t>纪委市监委</w:t>
      </w:r>
    </w:p>
    <w:p w14:paraId="50FBBBBE" w14:textId="28CE3DC2" w:rsidR="003C547F" w:rsidRPr="00CB05B8" w:rsidRDefault="003C547F" w:rsidP="001A16CE">
      <w:pPr>
        <w:adjustRightInd w:val="0"/>
        <w:snapToGrid w:val="0"/>
        <w:ind w:firstLineChars="200" w:firstLine="752"/>
        <w:rPr>
          <w:rFonts w:hAnsi="仿宋" w:cs="方正仿宋_GBK"/>
          <w:bCs/>
          <w:snapToGrid w:val="0"/>
          <w:kern w:val="0"/>
          <w:sz w:val="36"/>
          <w:szCs w:val="36"/>
        </w:rPr>
      </w:pPr>
      <w:r w:rsidRPr="00CB05B8">
        <w:rPr>
          <w:rFonts w:hAnsi="仿宋" w:cs="方正仿宋_GBK" w:hint="eastAsia"/>
          <w:bCs/>
          <w:snapToGrid w:val="0"/>
          <w:kern w:val="0"/>
          <w:sz w:val="36"/>
          <w:szCs w:val="36"/>
        </w:rPr>
        <w:t xml:space="preserve">              驻天津工业大学纪检监察组</w:t>
      </w:r>
    </w:p>
    <w:p w14:paraId="46FFBE66" w14:textId="0B23FD91" w:rsidR="00B53055" w:rsidRPr="00CB05B8" w:rsidRDefault="003C547F" w:rsidP="001A16CE">
      <w:pPr>
        <w:widowControl w:val="0"/>
        <w:rPr>
          <w:rFonts w:ascii="方正黑体_GBK" w:eastAsia="方正黑体_GBK"/>
          <w:snapToGrid w:val="0"/>
          <w:spacing w:val="0"/>
          <w:kern w:val="0"/>
          <w:sz w:val="36"/>
          <w:szCs w:val="36"/>
        </w:rPr>
      </w:pPr>
      <w:r w:rsidRPr="00CB05B8">
        <w:rPr>
          <w:rFonts w:hAnsi="仿宋" w:cs="方正仿宋_GBK" w:hint="eastAsia"/>
          <w:bCs/>
          <w:snapToGrid w:val="0"/>
          <w:kern w:val="0"/>
          <w:sz w:val="36"/>
          <w:szCs w:val="36"/>
        </w:rPr>
        <w:t xml:space="preserve">                      2021年3月</w:t>
      </w:r>
      <w:r w:rsidRPr="00CB05B8">
        <w:rPr>
          <w:rFonts w:hAnsi="仿宋" w:cs="方正仿宋_GBK"/>
          <w:bCs/>
          <w:snapToGrid w:val="0"/>
          <w:kern w:val="0"/>
          <w:sz w:val="36"/>
          <w:szCs w:val="36"/>
        </w:rPr>
        <w:t>29</w:t>
      </w:r>
      <w:r w:rsidRPr="00CB05B8">
        <w:rPr>
          <w:rFonts w:hAnsi="仿宋" w:cs="方正仿宋_GBK" w:hint="eastAsia"/>
          <w:bCs/>
          <w:snapToGrid w:val="0"/>
          <w:kern w:val="0"/>
          <w:sz w:val="36"/>
          <w:szCs w:val="36"/>
        </w:rPr>
        <w:t>日</w:t>
      </w:r>
    </w:p>
    <w:p w14:paraId="5C382A04" w14:textId="77777777" w:rsidR="00B53055" w:rsidRPr="00CB05B8" w:rsidRDefault="00B53055" w:rsidP="001A16CE">
      <w:pPr>
        <w:widowControl w:val="0"/>
        <w:rPr>
          <w:rFonts w:ascii="方正黑体_GBK" w:eastAsia="方正黑体_GBK"/>
          <w:snapToGrid w:val="0"/>
          <w:spacing w:val="0"/>
          <w:kern w:val="0"/>
          <w:sz w:val="36"/>
          <w:szCs w:val="36"/>
        </w:rPr>
      </w:pPr>
    </w:p>
    <w:p w14:paraId="71B0C8EC" w14:textId="77777777" w:rsidR="00B53055" w:rsidRPr="00CB05B8" w:rsidRDefault="00B53055" w:rsidP="001A16CE">
      <w:pPr>
        <w:widowControl w:val="0"/>
        <w:rPr>
          <w:rFonts w:ascii="方正黑体_GBK" w:eastAsia="方正黑体_GBK"/>
          <w:snapToGrid w:val="0"/>
          <w:spacing w:val="0"/>
          <w:kern w:val="0"/>
          <w:sz w:val="36"/>
          <w:szCs w:val="36"/>
        </w:rPr>
      </w:pPr>
    </w:p>
    <w:p w14:paraId="2618EE09" w14:textId="77777777" w:rsidR="00B53055" w:rsidRPr="00CB05B8" w:rsidRDefault="00B53055" w:rsidP="001A16CE">
      <w:pPr>
        <w:widowControl w:val="0"/>
        <w:rPr>
          <w:rFonts w:ascii="方正黑体_GBK" w:eastAsia="方正黑体_GBK"/>
          <w:snapToGrid w:val="0"/>
          <w:spacing w:val="0"/>
          <w:kern w:val="0"/>
          <w:sz w:val="36"/>
          <w:szCs w:val="36"/>
        </w:rPr>
      </w:pPr>
    </w:p>
    <w:p w14:paraId="2570A31E" w14:textId="77777777" w:rsidR="00B53055" w:rsidRPr="00CB05B8" w:rsidRDefault="00B53055" w:rsidP="001A16CE">
      <w:pPr>
        <w:widowControl w:val="0"/>
        <w:rPr>
          <w:rFonts w:ascii="方正黑体_GBK" w:eastAsia="方正黑体_GBK"/>
          <w:snapToGrid w:val="0"/>
          <w:spacing w:val="0"/>
          <w:kern w:val="0"/>
          <w:sz w:val="36"/>
          <w:szCs w:val="36"/>
        </w:rPr>
      </w:pPr>
    </w:p>
    <w:p w14:paraId="6D2E7330" w14:textId="77777777" w:rsidR="00B53055" w:rsidRPr="00CB05B8" w:rsidRDefault="00B53055" w:rsidP="001A16CE">
      <w:pPr>
        <w:widowControl w:val="0"/>
        <w:rPr>
          <w:rFonts w:ascii="方正黑体_GBK" w:eastAsia="方正黑体_GBK"/>
          <w:snapToGrid w:val="0"/>
          <w:spacing w:val="0"/>
          <w:kern w:val="0"/>
          <w:sz w:val="36"/>
          <w:szCs w:val="36"/>
        </w:rPr>
      </w:pPr>
    </w:p>
    <w:p w14:paraId="2A05E89B" w14:textId="77777777" w:rsidR="00B53055" w:rsidRPr="00CB05B8" w:rsidRDefault="00B53055" w:rsidP="001A16CE">
      <w:pPr>
        <w:widowControl w:val="0"/>
        <w:rPr>
          <w:rFonts w:ascii="方正黑体_GBK" w:eastAsia="方正黑体_GBK"/>
          <w:snapToGrid w:val="0"/>
          <w:spacing w:val="0"/>
          <w:kern w:val="0"/>
          <w:sz w:val="36"/>
          <w:szCs w:val="36"/>
        </w:rPr>
      </w:pPr>
    </w:p>
    <w:p w14:paraId="6ED7C0BB" w14:textId="77777777" w:rsidR="00042A89" w:rsidRPr="00CB05B8" w:rsidRDefault="00BA14D9" w:rsidP="001A16CE">
      <w:pPr>
        <w:rPr>
          <w:sz w:val="36"/>
          <w:szCs w:val="36"/>
        </w:rPr>
      </w:pPr>
    </w:p>
    <w:sectPr w:rsidR="00042A89" w:rsidRPr="00CB05B8" w:rsidSect="001A16CE">
      <w:footerReference w:type="default" r:id="rId6"/>
      <w:pgSz w:w="11906" w:h="16838" w:code="9"/>
      <w:pgMar w:top="2155" w:right="1531" w:bottom="1871" w:left="1531" w:header="851" w:footer="992" w:gutter="0"/>
      <w:cols w:space="425"/>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6A505" w14:textId="77777777" w:rsidR="00BA14D9" w:rsidRDefault="00BA14D9" w:rsidP="00B53055">
      <w:pPr>
        <w:spacing w:line="240" w:lineRule="auto"/>
      </w:pPr>
      <w:r>
        <w:separator/>
      </w:r>
    </w:p>
  </w:endnote>
  <w:endnote w:type="continuationSeparator" w:id="0">
    <w:p w14:paraId="1914AEBB" w14:textId="77777777" w:rsidR="00BA14D9" w:rsidRDefault="00BA14D9" w:rsidP="00B53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苹方-简"/>
    <w:panose1 w:val="03000502000000000000"/>
    <w:charset w:val="86"/>
    <w:family w:val="script"/>
    <w:pitch w:val="variable"/>
    <w:sig w:usb0="00000001" w:usb1="080E0000" w:usb2="00000010" w:usb3="00000000" w:csb0="00040000" w:csb1="00000000"/>
  </w:font>
  <w:font w:name="新宋体-18030">
    <w:altName w:val="华文仿宋"/>
    <w:charset w:val="86"/>
    <w:family w:val="auto"/>
    <w:pitch w:val="variable"/>
    <w:sig w:usb0="00002003" w:usb1="AB0E0800" w:usb2="0000001E" w:usb3="00000000" w:csb0="003C004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黑体_GBK">
    <w:altName w:val="苹方-简"/>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522632"/>
      <w:docPartObj>
        <w:docPartGallery w:val="Page Numbers (Bottom of Page)"/>
        <w:docPartUnique/>
      </w:docPartObj>
    </w:sdtPr>
    <w:sdtEndPr/>
    <w:sdtContent>
      <w:p w14:paraId="041B17BA" w14:textId="5E267354" w:rsidR="009D7828" w:rsidRDefault="009D7828">
        <w:pPr>
          <w:pStyle w:val="a5"/>
          <w:jc w:val="center"/>
        </w:pPr>
        <w:r>
          <w:fldChar w:fldCharType="begin"/>
        </w:r>
        <w:r>
          <w:instrText>PAGE   \* MERGEFORMAT</w:instrText>
        </w:r>
        <w:r>
          <w:fldChar w:fldCharType="separate"/>
        </w:r>
        <w:r>
          <w:rPr>
            <w:lang w:val="zh-CN"/>
          </w:rPr>
          <w:t>2</w:t>
        </w:r>
        <w:r>
          <w:fldChar w:fldCharType="end"/>
        </w:r>
      </w:p>
    </w:sdtContent>
  </w:sdt>
  <w:p w14:paraId="5ABA4601" w14:textId="77777777" w:rsidR="009D7828" w:rsidRDefault="009D78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2A023" w14:textId="77777777" w:rsidR="00BA14D9" w:rsidRDefault="00BA14D9" w:rsidP="00B53055">
      <w:pPr>
        <w:spacing w:line="240" w:lineRule="auto"/>
      </w:pPr>
      <w:r>
        <w:separator/>
      </w:r>
    </w:p>
  </w:footnote>
  <w:footnote w:type="continuationSeparator" w:id="0">
    <w:p w14:paraId="55B5FB46" w14:textId="77777777" w:rsidR="00BA14D9" w:rsidRDefault="00BA14D9" w:rsidP="00B530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68"/>
  <w:drawingGridVerticalSpacing w:val="29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C4"/>
    <w:rsid w:val="00081BC4"/>
    <w:rsid w:val="000917EE"/>
    <w:rsid w:val="0010301E"/>
    <w:rsid w:val="001A16CE"/>
    <w:rsid w:val="001C4F67"/>
    <w:rsid w:val="002D45AC"/>
    <w:rsid w:val="00357BE1"/>
    <w:rsid w:val="003B434A"/>
    <w:rsid w:val="003C547F"/>
    <w:rsid w:val="00572431"/>
    <w:rsid w:val="00573496"/>
    <w:rsid w:val="007046D8"/>
    <w:rsid w:val="00761CBC"/>
    <w:rsid w:val="00817C27"/>
    <w:rsid w:val="00867EFA"/>
    <w:rsid w:val="008B3C01"/>
    <w:rsid w:val="009743EE"/>
    <w:rsid w:val="00977ED6"/>
    <w:rsid w:val="009868F5"/>
    <w:rsid w:val="009D7828"/>
    <w:rsid w:val="00B53055"/>
    <w:rsid w:val="00B87D02"/>
    <w:rsid w:val="00BA14D9"/>
    <w:rsid w:val="00CB05B8"/>
    <w:rsid w:val="00CC29A1"/>
    <w:rsid w:val="00D07DCC"/>
    <w:rsid w:val="00F5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CD384"/>
  <w15:chartTrackingRefBased/>
  <w15:docId w15:val="{690317E0-513A-4569-A968-7062C23D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055"/>
    <w:pPr>
      <w:spacing w:line="580" w:lineRule="exact"/>
      <w:jc w:val="both"/>
    </w:pPr>
    <w:rPr>
      <w:rFonts w:ascii="方正仿宋_GBK" w:eastAsia="方正仿宋_GBK" w:hAnsi="Times New Roman" w:cs="Times New Roman"/>
      <w:spacing w:val="8"/>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055"/>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a4">
    <w:name w:val="页眉 字符"/>
    <w:basedOn w:val="a0"/>
    <w:link w:val="a3"/>
    <w:uiPriority w:val="99"/>
    <w:rsid w:val="00B53055"/>
    <w:rPr>
      <w:sz w:val="18"/>
      <w:szCs w:val="18"/>
    </w:rPr>
  </w:style>
  <w:style w:type="paragraph" w:styleId="a5">
    <w:name w:val="footer"/>
    <w:basedOn w:val="a"/>
    <w:link w:val="a6"/>
    <w:uiPriority w:val="99"/>
    <w:unhideWhenUsed/>
    <w:rsid w:val="00B53055"/>
    <w:pPr>
      <w:widowControl w:val="0"/>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character" w:customStyle="1" w:styleId="a6">
    <w:name w:val="页脚 字符"/>
    <w:basedOn w:val="a0"/>
    <w:link w:val="a5"/>
    <w:uiPriority w:val="99"/>
    <w:rsid w:val="00B530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ZW</cp:lastModifiedBy>
  <cp:revision>24</cp:revision>
  <dcterms:created xsi:type="dcterms:W3CDTF">2021-03-31T05:49:00Z</dcterms:created>
  <dcterms:modified xsi:type="dcterms:W3CDTF">2021-03-31T06:32:00Z</dcterms:modified>
</cp:coreProperties>
</file>